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AF" w:rsidRPr="00F64746" w:rsidRDefault="00F64746">
      <w:pPr>
        <w:rPr>
          <w:rFonts w:ascii="Times New Roman" w:hAnsi="Times New Roman" w:cs="Times New Roman"/>
          <w:sz w:val="24"/>
        </w:rPr>
      </w:pPr>
      <w:bookmarkStart w:id="0" w:name="_GoBack"/>
      <w:r w:rsidRPr="00F64746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Аннотация </w:t>
      </w:r>
      <w:bookmarkEnd w:id="0"/>
      <w:r w:rsidRPr="00F64746">
        <w:rPr>
          <w:rFonts w:ascii="Times New Roman" w:hAnsi="Times New Roman" w:cs="Times New Roman"/>
          <w:color w:val="222222"/>
          <w:sz w:val="24"/>
          <w:shd w:val="clear" w:color="auto" w:fill="FFFFFF"/>
        </w:rPr>
        <w:t>                                 </w:t>
      </w:r>
      <w:r w:rsidRPr="00F64746">
        <w:rPr>
          <w:rFonts w:ascii="Times New Roman" w:hAnsi="Times New Roman" w:cs="Times New Roman"/>
          <w:color w:val="222222"/>
          <w:sz w:val="24"/>
        </w:rPr>
        <w:br/>
      </w:r>
      <w:r w:rsidRPr="00F64746">
        <w:rPr>
          <w:rFonts w:ascii="Times New Roman" w:hAnsi="Times New Roman" w:cs="Times New Roman"/>
          <w:color w:val="222222"/>
          <w:sz w:val="24"/>
          <w:shd w:val="clear" w:color="auto" w:fill="FFFFFF"/>
        </w:rPr>
        <w:t>Трудоемкость: 2 ECTS , 72 академических часов</w:t>
      </w:r>
      <w:r w:rsidRPr="00F64746">
        <w:rPr>
          <w:rFonts w:ascii="Times New Roman" w:hAnsi="Times New Roman" w:cs="Times New Roman"/>
          <w:color w:val="222222"/>
          <w:sz w:val="24"/>
        </w:rPr>
        <w:br/>
      </w:r>
      <w:r w:rsidRPr="00F64746">
        <w:rPr>
          <w:rFonts w:ascii="Times New Roman" w:hAnsi="Times New Roman" w:cs="Times New Roman"/>
          <w:color w:val="222222"/>
          <w:sz w:val="24"/>
          <w:shd w:val="clear" w:color="auto" w:fill="FFFFFF"/>
        </w:rPr>
        <w:t>Форма итогового контроля: зачет                                            </w:t>
      </w:r>
      <w:r w:rsidRPr="00F64746">
        <w:rPr>
          <w:rFonts w:ascii="Times New Roman" w:hAnsi="Times New Roman" w:cs="Times New Roman"/>
          <w:color w:val="222222"/>
          <w:sz w:val="24"/>
        </w:rPr>
        <w:br/>
      </w:r>
      <w:r w:rsidRPr="00F6474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Краткое содержание. Земельные отношения получили свое бурное развитие в связи с установлением рыночных отношений. Конституция РФ предусмотрела возможность существования права частной собственности на землю, что придало земельному праву особую роль в регулировании </w:t>
      </w:r>
      <w:proofErr w:type="spellStart"/>
      <w:r w:rsidRPr="00F64746">
        <w:rPr>
          <w:rFonts w:ascii="Times New Roman" w:hAnsi="Times New Roman" w:cs="Times New Roman"/>
          <w:color w:val="222222"/>
          <w:sz w:val="24"/>
          <w:shd w:val="clear" w:color="auto" w:fill="FFFFFF"/>
        </w:rPr>
        <w:t>земельно</w:t>
      </w:r>
      <w:proofErr w:type="spellEnd"/>
      <w:r w:rsidRPr="00F6474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- правовых отношений. </w:t>
      </w:r>
      <w:proofErr w:type="gramStart"/>
      <w:r w:rsidRPr="00F64746">
        <w:rPr>
          <w:rFonts w:ascii="Times New Roman" w:hAnsi="Times New Roman" w:cs="Times New Roman"/>
          <w:color w:val="222222"/>
          <w:sz w:val="24"/>
          <w:shd w:val="clear" w:color="auto" w:fill="FFFFFF"/>
        </w:rPr>
        <w:t>В частности</w:t>
      </w:r>
      <w:proofErr w:type="gramEnd"/>
      <w:r w:rsidRPr="00F6474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земельные участки как объекты недвижимости стали объектами права частной собственности, вместе с тем, земля остается природным ресурсом и основой жизнедеятельности населения, и по этой причине требует особой охраны со стороны государства. Подобное двоякое правовое положение привело к развитию норм земельного права, благодаря которым стало возможным обеспечить сбалансированный подход к земле. Необходимо учесть также, что существование недвижимого имущества невозможно без определения правового статуса земельного участка, на котором находится объекты недвижимости. Особое значение приобретают вопросы правового статуса отдельных категорий земель. В рамках изучения дисциплины «Земельное право» предполагается системное изучение нормативно-правовых актов, судебной практики и теоретических положений по вопросам земельного права, ознакомление их с особенностями возникновения права собственности на землю, особенностями владения, пользования и распоряжения земельными участками, вопросами изъятия земельных участков, а также вопросами ответственности, наступающей в случае несоблюдения требований земельного законодательства. Термин “Земельное право” употребляется в двух основных значениях: Во-первых, так называется совокупность правовых норм, регулирующих </w:t>
      </w:r>
      <w:proofErr w:type="spellStart"/>
      <w:r w:rsidRPr="00F64746">
        <w:rPr>
          <w:rFonts w:ascii="Times New Roman" w:hAnsi="Times New Roman" w:cs="Times New Roman"/>
          <w:color w:val="222222"/>
          <w:sz w:val="24"/>
          <w:shd w:val="clear" w:color="auto" w:fill="FFFFFF"/>
        </w:rPr>
        <w:t>земельно</w:t>
      </w:r>
      <w:proofErr w:type="spellEnd"/>
      <w:r w:rsidRPr="00F6474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-правовые отношения, и, во-вторых, так именуется научная дисциплина – совокупность научных теорий и знаний, обобщающих данную область общественных отношений, практику реализации норм земельного права.</w:t>
      </w:r>
      <w:r w:rsidRPr="00F64746">
        <w:rPr>
          <w:rFonts w:ascii="Times New Roman" w:hAnsi="Times New Roman" w:cs="Times New Roman"/>
          <w:color w:val="222222"/>
          <w:sz w:val="24"/>
        </w:rPr>
        <w:br/>
      </w:r>
      <w:r w:rsidRPr="00F64746">
        <w:rPr>
          <w:rFonts w:ascii="Times New Roman" w:hAnsi="Times New Roman" w:cs="Times New Roman"/>
          <w:color w:val="222222"/>
          <w:sz w:val="24"/>
          <w:shd w:val="clear" w:color="auto" w:fill="FFFFFF"/>
        </w:rPr>
        <w:t>Взаимосвязь с другими дисциплинами. Курс “Земельное право” взаимосвязан с такими дисциплинами, как "Теория государства и права" "Конституционное право" и "Гражданским право".                                                                                                                                                                           Требования к исходным уровням знаний и умений студентов. Для эффективного освоения курса необходимы знания по предметам "Теория государства и права", "Гражданское право", "Конституционное право". </w:t>
      </w:r>
    </w:p>
    <w:sectPr w:rsidR="00B513AF" w:rsidRPr="00F6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0"/>
    <w:rsid w:val="00B513AF"/>
    <w:rsid w:val="00F64746"/>
    <w:rsid w:val="00F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F4EA3-392D-4C49-8C5D-37794B75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2022-02-16T07:00:00Z</dcterms:created>
  <dcterms:modified xsi:type="dcterms:W3CDTF">2022-02-16T07:00:00Z</dcterms:modified>
</cp:coreProperties>
</file>